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7F" w:rsidRPr="006479DF" w:rsidRDefault="0004107F" w:rsidP="0004107F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F8DA3DC" wp14:editId="77D41EB6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FAB2C9F" wp14:editId="04DB970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1" layoutInCell="1" allowOverlap="1" wp14:anchorId="773D6AB0" wp14:editId="0A32D3E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D3FEB63D5F984AF581F6C55C78AA148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40"/>
              <w:szCs w:val="20"/>
            </w:rPr>
            <w:t>26</w:t>
          </w:r>
        </w:sdtContent>
      </w:sdt>
    </w:p>
    <w:p w:rsidR="0004107F" w:rsidRPr="00C6439D" w:rsidRDefault="0004107F" w:rsidP="0004107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5A5B877F0004BF58AD4A031CCF05EE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32"/>
              <w:szCs w:val="32"/>
            </w:rPr>
            <w:t>1</w:t>
          </w:r>
        </w:sdtContent>
      </w:sdt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Pr="009836CF" w:rsidRDefault="0004107F" w:rsidP="0004107F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04107F" w:rsidRDefault="0004107F" w:rsidP="0004107F">
      <w:pPr>
        <w:rPr>
          <w:sz w:val="20"/>
          <w:szCs w:val="20"/>
        </w:rPr>
      </w:pPr>
    </w:p>
    <w:p w:rsidR="0004107F" w:rsidRPr="006479DF" w:rsidRDefault="0004107F" w:rsidP="0004107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Doplňujúce monitorovacie údaje k žiadosti o platbu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04107F">
            <w:pPr>
              <w:jc w:val="both"/>
            </w:pPr>
            <w:r w:rsidRPr="0004107F">
              <w:t>Riadiace orgány</w:t>
            </w:r>
          </w:p>
          <w:p w:rsidR="0004107F" w:rsidRPr="0004107F" w:rsidRDefault="0004107F" w:rsidP="0004107F">
            <w:pPr>
              <w:jc w:val="both"/>
            </w:pPr>
            <w:r w:rsidRPr="0004107F">
              <w:t>Sprostredkovateľské orgány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Certifikačný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Orgán auditu</w:t>
            </w:r>
          </w:p>
          <w:p w:rsidR="0004107F" w:rsidRPr="0004107F" w:rsidRDefault="0004107F" w:rsidP="00547395">
            <w:pPr>
              <w:jc w:val="both"/>
            </w:pPr>
            <w:r w:rsidRPr="0004107F">
              <w:t>Gestori horizontálnych princípov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Centrálny koordinačný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Úrad vlády SR</w:t>
            </w:r>
          </w:p>
          <w:p w:rsidR="0004107F" w:rsidRPr="0004107F" w:rsidRDefault="0004107F" w:rsidP="00547395">
            <w:pPr>
              <w:jc w:val="both"/>
            </w:pPr>
            <w:r w:rsidRPr="0004107F">
              <w:t>v súlade s kapitolou 1.2, ods. 3, písm. a) Systému riadenia európskych štrukturálnych a investičných fondov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F77AC2B180D047BD890DCBE3AD8AFD9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04107F" w:rsidP="00547395">
                <w:pPr>
                  <w:jc w:val="both"/>
                </w:pPr>
                <w: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031C6A54063F475F87DD856A71D0542A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26C5" w:rsidP="00547395">
                <w:pPr>
                  <w:jc w:val="both"/>
                </w:pPr>
                <w:r>
                  <w:t>05.02.2015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008A29DBF8434811BA7AFFEB72B57D6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26C5" w:rsidP="00547395">
                <w:pPr>
                  <w:jc w:val="both"/>
                </w:pPr>
                <w:r>
                  <w:t>05.02.2015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Ing. Igor Federič</w:t>
            </w:r>
          </w:p>
          <w:p w:rsidR="0004107F" w:rsidRPr="0004107F" w:rsidRDefault="0004107F" w:rsidP="00547395">
            <w:pPr>
              <w:jc w:val="both"/>
            </w:pPr>
            <w:r w:rsidRPr="0004107F">
              <w:t>vedúci Úradu vlády SR</w:t>
            </w:r>
          </w:p>
        </w:tc>
      </w:tr>
    </w:tbl>
    <w:p w:rsidR="0004107F" w:rsidRPr="00627EA3" w:rsidRDefault="0004107F" w:rsidP="0004107F"/>
    <w:p w:rsidR="00627EA3" w:rsidRPr="00627EA3" w:rsidRDefault="00627EA3" w:rsidP="006479DF"/>
    <w:p w:rsidR="00C31910" w:rsidRDefault="00C31910" w:rsidP="006479DF">
      <w:pPr>
        <w:sectPr w:rsidR="00C31910" w:rsidSect="009549F7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547395">
        <w:tc>
          <w:tcPr>
            <w:tcW w:w="14142" w:type="dxa"/>
            <w:shd w:val="clear" w:color="auto" w:fill="B2A1C7" w:themeFill="accent4" w:themeFillTint="99"/>
          </w:tcPr>
          <w:p w:rsidR="005E51A4" w:rsidRPr="005E51A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lastRenderedPageBreak/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75" w:rsidRDefault="00470E75" w:rsidP="00B948E0">
      <w:r>
        <w:separator/>
      </w:r>
    </w:p>
  </w:endnote>
  <w:endnote w:type="continuationSeparator" w:id="0">
    <w:p w:rsidR="00470E75" w:rsidRDefault="00470E7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8914765" cy="0"/>
              <wp:effectExtent l="57150" t="38100" r="57785" b="95250"/>
              <wp:wrapNone/>
              <wp:docPr id="1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65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F53646">
    <w:pPr>
      <w:pStyle w:val="Pta"/>
      <w:jc w:val="right"/>
    </w:pPr>
    <w:r>
      <w:rPr>
        <w:noProof/>
      </w:rPr>
      <w:drawing>
        <wp:anchor distT="0" distB="0" distL="114300" distR="114300" simplePos="0" relativeHeight="251656192" behindDoc="1" locked="0" layoutInCell="1" allowOverlap="1" wp14:anchorId="71D506A2" wp14:editId="146C64F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6826C5">
      <w:rPr>
        <w:noProof/>
      </w:rPr>
      <w:t>3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B" w:rsidRDefault="00D8137B" w:rsidP="00D8137B">
    <w:pPr>
      <w:pStyle w:val="Pta"/>
      <w:jc w:val="right"/>
    </w:pPr>
    <w:r>
      <w:t xml:space="preserve"> </w:t>
    </w:r>
  </w:p>
  <w:p w:rsidR="00D8137B" w:rsidRDefault="00D8137B" w:rsidP="00D8137B">
    <w:pPr>
      <w:pStyle w:val="Pt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04107F"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rPr>
        <w:noProof/>
      </w:rPr>
      <w:drawing>
        <wp:anchor distT="0" distB="0" distL="114300" distR="114300" simplePos="0" relativeHeight="251663360" behindDoc="1" locked="0" layoutInCell="1" allowOverlap="1" wp14:anchorId="7319E419" wp14:editId="435098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04107F">
          <w:fldChar w:fldCharType="begin"/>
        </w:r>
        <w:r w:rsidRPr="0004107F">
          <w:instrText>PAGE   \* MERGEFORMAT</w:instrText>
        </w:r>
        <w:r w:rsidRPr="0004107F">
          <w:fldChar w:fldCharType="separate"/>
        </w:r>
        <w:r w:rsidR="006826C5">
          <w:rPr>
            <w:noProof/>
          </w:rPr>
          <w:t>2</w:t>
        </w:r>
        <w:r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75" w:rsidRDefault="00470E75" w:rsidP="00B948E0">
      <w:r>
        <w:separator/>
      </w:r>
    </w:p>
  </w:footnote>
  <w:footnote w:type="continuationSeparator" w:id="0">
    <w:p w:rsidR="00470E75" w:rsidRDefault="00470E75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HIn8QrVAQAA&#10;6g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F426CF" w:rsidRPr="00627EA3" w:rsidRDefault="00282057" w:rsidP="00627EA3">
    <w:pPr>
      <w:pStyle w:val="Hlavika"/>
      <w:jc w:val="right"/>
    </w:pPr>
    <w:r>
      <w:rPr>
        <w:szCs w:val="20"/>
      </w:rPr>
      <w:t>XX</w:t>
    </w:r>
    <w:r w:rsidR="00F426CF">
      <w:rPr>
        <w:szCs w:val="20"/>
      </w:rPr>
      <w:t>.</w:t>
    </w:r>
    <w:r>
      <w:rPr>
        <w:szCs w:val="20"/>
      </w:rPr>
      <w:t>XX</w:t>
    </w:r>
    <w:r w:rsidR="00F426CF">
      <w:rPr>
        <w:szCs w:val="20"/>
      </w:rPr>
      <w:t>.201</w:t>
    </w:r>
    <w:r w:rsidR="00F00622">
      <w:rPr>
        <w:szCs w:val="20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2ED4639" wp14:editId="63ABBC84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1919752919"/>
      <w:placeholder>
        <w:docPart w:val="09288F9BAD454EBA86ABC3DA4C57A8B2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04107F" w:rsidRPr="0004107F" w:rsidRDefault="006826C5" w:rsidP="0004107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05.02.2015</w:t>
        </w:r>
      </w:p>
    </w:sdtContent>
  </w:sdt>
  <w:p w:rsidR="0004107F" w:rsidRPr="0004107F" w:rsidRDefault="0004107F" w:rsidP="000410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Default="005E51A4" w:rsidP="0004107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E38A395" wp14:editId="0DE88364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0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112199810"/>
      <w:placeholder>
        <w:docPart w:val="ADDEF2C140F44D19B275F51077C0241C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04107F" w:rsidRPr="00627EA3" w:rsidRDefault="006826C5" w:rsidP="0004107F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FEB63D5F984AF581F6C55C78AA1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E568E-CA43-4832-802A-89E25501B00A}"/>
      </w:docPartPr>
      <w:docPartBody>
        <w:p w:rsidR="001E3C8B" w:rsidRDefault="007C728B" w:rsidP="007C728B">
          <w:pPr>
            <w:pStyle w:val="D3FEB63D5F984AF581F6C55C78AA148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5A5B877F0004BF58AD4A031CCF05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EED6DE-F20E-49C1-949D-0F9D4F0FE780}"/>
      </w:docPartPr>
      <w:docPartBody>
        <w:p w:rsidR="001E3C8B" w:rsidRDefault="007C728B" w:rsidP="007C728B">
          <w:pPr>
            <w:pStyle w:val="35A5B877F0004BF58AD4A031CCF05EE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77AC2B180D047BD890DCBE3AD8AF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A7645-3705-43CE-B27A-0AFDE2C3A22A}"/>
      </w:docPartPr>
      <w:docPartBody>
        <w:p w:rsidR="001E3C8B" w:rsidRDefault="007C728B" w:rsidP="007C728B">
          <w:pPr>
            <w:pStyle w:val="F77AC2B180D047BD890DCBE3AD8AFD9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31C6A54063F475F87DD856A71D054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8C253B-ECAE-4A88-8586-66D680A55619}"/>
      </w:docPartPr>
      <w:docPartBody>
        <w:p w:rsidR="001E3C8B" w:rsidRDefault="007C728B" w:rsidP="007C728B">
          <w:pPr>
            <w:pStyle w:val="031C6A54063F475F87DD856A71D0542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08A29DBF8434811BA7AFFEB72B57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36B922-B1BE-4A8B-86A3-4ADF91B7C00E}"/>
      </w:docPartPr>
      <w:docPartBody>
        <w:p w:rsidR="001E3C8B" w:rsidRDefault="007C728B" w:rsidP="007C728B">
          <w:pPr>
            <w:pStyle w:val="008A29DBF8434811BA7AFFEB72B57D6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ADDEF2C140F44D19B275F51077C02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CF103-D310-494F-A6FF-ED87285D608A}"/>
      </w:docPartPr>
      <w:docPartBody>
        <w:p w:rsidR="001E3C8B" w:rsidRDefault="007C728B" w:rsidP="007C728B">
          <w:pPr>
            <w:pStyle w:val="ADDEF2C140F44D19B275F51077C0241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9288F9BAD454EBA86ABC3DA4C57A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4DA4E5-6F19-4F16-A0D1-087B521359E2}"/>
      </w:docPartPr>
      <w:docPartBody>
        <w:p w:rsidR="001E3C8B" w:rsidRDefault="007C728B" w:rsidP="007C728B">
          <w:pPr>
            <w:pStyle w:val="09288F9BAD454EBA86ABC3DA4C57A8B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8B"/>
    <w:rsid w:val="001E3C8B"/>
    <w:rsid w:val="00253813"/>
    <w:rsid w:val="002C7FAC"/>
    <w:rsid w:val="006F22DE"/>
    <w:rsid w:val="007C728B"/>
    <w:rsid w:val="008D2F58"/>
    <w:rsid w:val="00A54AE4"/>
    <w:rsid w:val="00A5612A"/>
    <w:rsid w:val="00D43FFC"/>
    <w:rsid w:val="00E5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21E5-6F03-4E9E-8BBF-E18CD450A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4</cp:revision>
  <cp:lastPrinted>2015-02-05T16:37:00Z</cp:lastPrinted>
  <dcterms:created xsi:type="dcterms:W3CDTF">2015-02-05T09:40:00Z</dcterms:created>
  <dcterms:modified xsi:type="dcterms:W3CDTF">2015-02-05T16:37:00Z</dcterms:modified>
</cp:coreProperties>
</file>